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9142F" w14:textId="77777777" w:rsidR="006B324F" w:rsidRDefault="006B324F" w:rsidP="006B324F">
      <w:pPr>
        <w:spacing w:line="360" w:lineRule="auto"/>
        <w:ind w:firstLine="709"/>
        <w:jc w:val="both"/>
        <w:rPr>
          <w:rFonts w:cs="Times New Roman"/>
        </w:rPr>
      </w:pPr>
      <w:r>
        <w:rPr>
          <w:rFonts w:cs="Times New Roman"/>
        </w:rPr>
        <w:t>Степанец Светлана Германовна, преподаватель художественного отделения.</w:t>
      </w:r>
    </w:p>
    <w:p w14:paraId="79B80E16" w14:textId="77777777" w:rsidR="006B324F" w:rsidRDefault="006B324F" w:rsidP="006B324F">
      <w:pPr>
        <w:spacing w:line="360" w:lineRule="auto"/>
        <w:ind w:firstLine="709"/>
        <w:jc w:val="both"/>
        <w:rPr>
          <w:rFonts w:cs="Times New Roman"/>
        </w:rPr>
      </w:pPr>
      <w:r>
        <w:rPr>
          <w:rFonts w:cs="Times New Roman"/>
        </w:rPr>
        <w:t xml:space="preserve">МБОУ ДОД «Детская школа искусств г. </w:t>
      </w:r>
      <w:proofErr w:type="spellStart"/>
      <w:r>
        <w:rPr>
          <w:rFonts w:cs="Times New Roman"/>
        </w:rPr>
        <w:t>Нарьян</w:t>
      </w:r>
      <w:proofErr w:type="spellEnd"/>
      <w:r>
        <w:rPr>
          <w:rFonts w:cs="Times New Roman"/>
        </w:rPr>
        <w:t>–</w:t>
      </w:r>
      <w:proofErr w:type="spellStart"/>
      <w:r>
        <w:rPr>
          <w:rFonts w:cs="Times New Roman"/>
        </w:rPr>
        <w:t>Мара</w:t>
      </w:r>
      <w:proofErr w:type="spellEnd"/>
      <w:r>
        <w:rPr>
          <w:rFonts w:cs="Times New Roman"/>
        </w:rPr>
        <w:t>». Тема выступления на окружном методическом объединении:</w:t>
      </w:r>
    </w:p>
    <w:p w14:paraId="1EAE75C7" w14:textId="77777777" w:rsidR="006B324F" w:rsidRDefault="006B324F" w:rsidP="00785953">
      <w:pPr>
        <w:jc w:val="center"/>
        <w:rPr>
          <w:rFonts w:eastAsia="Times New Roman" w:cs="Times New Roman"/>
          <w:b/>
          <w:bCs/>
          <w:color w:val="689401"/>
        </w:rPr>
      </w:pPr>
    </w:p>
    <w:p w14:paraId="31DF7549" w14:textId="16859B96" w:rsidR="00785953" w:rsidRDefault="00785953" w:rsidP="00785953">
      <w:pPr>
        <w:jc w:val="center"/>
        <w:rPr>
          <w:rFonts w:eastAsia="Times New Roman" w:cs="Times New Roman"/>
          <w:b/>
          <w:bCs/>
          <w:color w:val="689401"/>
        </w:rPr>
      </w:pPr>
      <w:r>
        <w:rPr>
          <w:rFonts w:eastAsia="Times New Roman" w:cs="Times New Roman"/>
          <w:b/>
          <w:bCs/>
          <w:color w:val="689401"/>
        </w:rPr>
        <w:t>«</w:t>
      </w:r>
      <w:r w:rsidR="00042E15" w:rsidRPr="00042E15">
        <w:rPr>
          <w:rFonts w:eastAsia="Times New Roman" w:cs="Times New Roman"/>
          <w:b/>
          <w:bCs/>
          <w:color w:val="689401"/>
        </w:rPr>
        <w:t>Дидактические упражнения и игры на занятиях по изобразительной деятельности</w:t>
      </w:r>
      <w:r>
        <w:rPr>
          <w:rFonts w:eastAsia="Times New Roman" w:cs="Times New Roman"/>
          <w:b/>
          <w:bCs/>
          <w:color w:val="689401"/>
        </w:rPr>
        <w:t xml:space="preserve">».   </w:t>
      </w:r>
    </w:p>
    <w:p w14:paraId="79F15BC1" w14:textId="77777777" w:rsidR="00042E15" w:rsidRPr="00042E15" w:rsidRDefault="00042E15" w:rsidP="00042E15">
      <w:pPr>
        <w:spacing w:before="100" w:beforeAutospacing="1" w:after="100" w:afterAutospacing="1"/>
        <w:rPr>
          <w:rFonts w:ascii="Times" w:hAnsi="Times" w:cs="Times New Roman"/>
          <w:color w:val="000000"/>
        </w:rPr>
      </w:pPr>
      <w:r w:rsidRPr="00042E15">
        <w:rPr>
          <w:rFonts w:ascii="Times" w:hAnsi="Times" w:cs="Times New Roman"/>
          <w:color w:val="000000"/>
        </w:rPr>
        <w:t>Уважаемые коллеги!  </w:t>
      </w:r>
    </w:p>
    <w:p w14:paraId="3B5A044F" w14:textId="77777777" w:rsidR="00042E15" w:rsidRPr="00785953" w:rsidRDefault="00042E15" w:rsidP="00785953">
      <w:pPr>
        <w:spacing w:before="100" w:beforeAutospacing="1" w:after="100" w:afterAutospacing="1"/>
        <w:jc w:val="both"/>
        <w:rPr>
          <w:rFonts w:cs="Times New Roman"/>
          <w:color w:val="000000"/>
        </w:rPr>
      </w:pPr>
      <w:r w:rsidRPr="00042E15">
        <w:rPr>
          <w:rFonts w:ascii="Times" w:hAnsi="Times" w:cs="Times New Roman"/>
          <w:color w:val="000000"/>
        </w:rPr>
        <w:t xml:space="preserve">         </w:t>
      </w:r>
      <w:r w:rsidRPr="00785953">
        <w:rPr>
          <w:rFonts w:cs="Times New Roman"/>
          <w:color w:val="000000"/>
        </w:rPr>
        <w:t>Игра часто используется нами в педагогическом процессе детского сада, начальной школы и учреждений дополнительного образования детей как прием обучения, и  как средства активизации познавательной деятельности детей. От связи с играми изобразительная деятельность становится более интересной, привлекательной для ребенка, вызывает яркий  эмоциональный отклик. Взаимосвязь  изобразительной деятельности с игрой создает у детей личностно значимый для каждого ребенка мотив деятельности, а это в свою очередь обеспечивает его эффективность. И результат деятельности получается более высоким, так как ребенок не просто рисует и лепит, а передает в изображениях образы игры, что способствует развитию его творчества.</w:t>
      </w:r>
    </w:p>
    <w:p w14:paraId="076414A8" w14:textId="77777777" w:rsidR="00042E15" w:rsidRPr="00785953" w:rsidRDefault="00042E15" w:rsidP="00785953">
      <w:pPr>
        <w:spacing w:before="100" w:beforeAutospacing="1" w:after="100" w:afterAutospacing="1"/>
        <w:jc w:val="both"/>
        <w:rPr>
          <w:rFonts w:cs="Times New Roman"/>
          <w:color w:val="000000"/>
        </w:rPr>
      </w:pPr>
      <w:r w:rsidRPr="00785953">
        <w:rPr>
          <w:rFonts w:cs="Times New Roman"/>
          <w:color w:val="000000"/>
        </w:rPr>
        <w:t>         Включение игры в процесс  обучения изобразительному искусству относится к наглядно- действенным приемам обучения. Она представляет собой сочетание слова педагога, активных действий детей с наглядными пособиями и специальным игровым оборудованием.  Научно обоснованная игра используется для формирования и развития чувства  понимания прекрасного, изобразительных навыков и умений. Соединение игры с художественным творчеством создает у ребенка определенную установку на более яркое восприятие и передачу окружающей действительности. </w:t>
      </w:r>
    </w:p>
    <w:p w14:paraId="25792F39" w14:textId="77777777" w:rsidR="00042E15" w:rsidRPr="00785953" w:rsidRDefault="00042E15" w:rsidP="00785953">
      <w:pPr>
        <w:spacing w:before="100" w:beforeAutospacing="1" w:after="100" w:afterAutospacing="1"/>
        <w:jc w:val="both"/>
        <w:rPr>
          <w:rFonts w:cs="Times New Roman"/>
          <w:color w:val="000000"/>
        </w:rPr>
      </w:pPr>
      <w:r w:rsidRPr="00785953">
        <w:rPr>
          <w:rFonts w:cs="Times New Roman"/>
          <w:color w:val="000000"/>
        </w:rPr>
        <w:t>         Важнейшим условием игры,  снимающим принудительный характер обучения,  является активное действие детей. Без этого решающего условия не реализуется учебные и игровые задачи. </w:t>
      </w:r>
    </w:p>
    <w:p w14:paraId="35156E68" w14:textId="77777777" w:rsidR="00042E15" w:rsidRPr="00785953" w:rsidRDefault="00042E15" w:rsidP="00785953">
      <w:pPr>
        <w:spacing w:before="100" w:beforeAutospacing="1" w:after="100" w:afterAutospacing="1"/>
        <w:jc w:val="both"/>
        <w:rPr>
          <w:rFonts w:cs="Times New Roman"/>
          <w:color w:val="000000"/>
        </w:rPr>
      </w:pPr>
      <w:r w:rsidRPr="00785953">
        <w:rPr>
          <w:rFonts w:cs="Times New Roman"/>
          <w:color w:val="000000"/>
        </w:rPr>
        <w:t>         Используя игру на занятии по изобразительному искусству, педагог должен иметь определенную педагогическую цель, которая определяет дидактические задачи игры, ее обучающий характер. Особенно рациональными представляются игровые действия для развития понимания  конструктивных особенностей формы,  формирования чувства пространства, пропорций, развития зрительной памяти, наблюдательности, глазомера.</w:t>
      </w:r>
    </w:p>
    <w:p w14:paraId="12395750" w14:textId="77777777" w:rsidR="00042E15" w:rsidRPr="00785953" w:rsidRDefault="00042E15" w:rsidP="00785953">
      <w:pPr>
        <w:spacing w:before="100" w:beforeAutospacing="1" w:after="100" w:afterAutospacing="1"/>
        <w:jc w:val="both"/>
        <w:rPr>
          <w:rFonts w:cs="Times New Roman"/>
          <w:color w:val="000000"/>
        </w:rPr>
      </w:pPr>
      <w:r w:rsidRPr="00785953">
        <w:rPr>
          <w:rFonts w:cs="Times New Roman"/>
          <w:color w:val="000000"/>
        </w:rPr>
        <w:lastRenderedPageBreak/>
        <w:t>        Дидактические задачи в отличии от  обычных занятий решаются здесь через игровые моменты, через осуществление игровых действий, которые происходят согласно определенным правилам, договоренности. Они содержат нравственные требования к взаимоотношениям детей, к выполнению ими определенных норм поведения и определенных ролей. Успех игры, трудности, с которыми пришлось столкнуться, обнаруживаются в ее финале, в момент подведения итогов.</w:t>
      </w:r>
    </w:p>
    <w:p w14:paraId="3CD74F23" w14:textId="77777777" w:rsidR="00042E15" w:rsidRPr="00785953" w:rsidRDefault="00042E15" w:rsidP="00785953">
      <w:pPr>
        <w:spacing w:before="100" w:beforeAutospacing="1" w:after="100" w:afterAutospacing="1"/>
        <w:jc w:val="both"/>
        <w:rPr>
          <w:rFonts w:cs="Times New Roman"/>
          <w:color w:val="000000"/>
        </w:rPr>
      </w:pPr>
      <w:r w:rsidRPr="00785953">
        <w:rPr>
          <w:rFonts w:cs="Times New Roman"/>
          <w:color w:val="000000"/>
        </w:rPr>
        <w:t xml:space="preserve">Только при наличии перечисленных условий игра может выполнять функции обучения и давать ощутимые результаты по приобщению детей к миру прекрасного, обучению основам изобразительного искусства. </w:t>
      </w:r>
    </w:p>
    <w:p w14:paraId="2B03B899" w14:textId="77777777" w:rsidR="00042E15" w:rsidRPr="00785953" w:rsidRDefault="00042E15" w:rsidP="00785953">
      <w:pPr>
        <w:spacing w:before="100" w:beforeAutospacing="1" w:after="100" w:afterAutospacing="1"/>
        <w:jc w:val="both"/>
        <w:rPr>
          <w:rFonts w:cs="Times New Roman"/>
          <w:color w:val="000000"/>
        </w:rPr>
      </w:pPr>
      <w:r w:rsidRPr="00785953">
        <w:rPr>
          <w:rFonts w:cs="Times New Roman"/>
          <w:color w:val="000000"/>
        </w:rPr>
        <w:t>Хорошая игра нуждается в несложном игровом оборудовании,  которое дети могут сделать сами под руководством педагога или родителей.  </w:t>
      </w:r>
    </w:p>
    <w:p w14:paraId="48CD98FA" w14:textId="77777777" w:rsidR="00042E15" w:rsidRPr="00785953" w:rsidRDefault="00042E15" w:rsidP="00785953">
      <w:pPr>
        <w:spacing w:before="100" w:beforeAutospacing="1" w:after="100" w:afterAutospacing="1"/>
        <w:jc w:val="both"/>
        <w:rPr>
          <w:rFonts w:cs="Times New Roman"/>
          <w:color w:val="000000"/>
        </w:rPr>
      </w:pPr>
      <w:r w:rsidRPr="00785953">
        <w:rPr>
          <w:rFonts w:cs="Times New Roman"/>
          <w:color w:val="000000"/>
        </w:rPr>
        <w:t>Собранные здесь игры появились в процессе поисков,  соединения разных элементов уже  известных игровых занятий и  созданных новых.  </w:t>
      </w:r>
    </w:p>
    <w:p w14:paraId="12728F08" w14:textId="77777777" w:rsidR="00042E15" w:rsidRPr="00785953" w:rsidRDefault="00042E15" w:rsidP="00785953">
      <w:pPr>
        <w:spacing w:before="100" w:beforeAutospacing="1" w:after="100" w:afterAutospacing="1"/>
        <w:jc w:val="both"/>
        <w:rPr>
          <w:rFonts w:cs="Times New Roman"/>
          <w:color w:val="000000"/>
        </w:rPr>
      </w:pPr>
      <w:r w:rsidRPr="00785953">
        <w:rPr>
          <w:rFonts w:cs="Times New Roman"/>
          <w:color w:val="000000"/>
        </w:rPr>
        <w:t>По целям обучения они могут быть объединены  в отдельные группы.  </w:t>
      </w:r>
    </w:p>
    <w:p w14:paraId="4FE5E213" w14:textId="77777777" w:rsidR="00042E15" w:rsidRPr="00785953" w:rsidRDefault="00042E15" w:rsidP="00785953">
      <w:pPr>
        <w:spacing w:before="100" w:beforeAutospacing="1" w:after="100" w:afterAutospacing="1"/>
        <w:jc w:val="both"/>
        <w:rPr>
          <w:rFonts w:cs="Times New Roman"/>
          <w:color w:val="000000"/>
        </w:rPr>
      </w:pPr>
      <w:r w:rsidRPr="00785953">
        <w:rPr>
          <w:rFonts w:cs="Times New Roman"/>
          <w:color w:val="000000"/>
        </w:rPr>
        <w:t>1.    Игры, способствующие развитию графических навыков, пониманию конструктивных особенностей формы. Например: «Новые фигуры», «Собери фигуру по картинке», «Формы», «На что это похоже». </w:t>
      </w:r>
    </w:p>
    <w:p w14:paraId="411EC746" w14:textId="77777777" w:rsidR="00042E15" w:rsidRPr="00785953" w:rsidRDefault="00042E15" w:rsidP="00785953">
      <w:pPr>
        <w:spacing w:before="100" w:beforeAutospacing="1" w:after="100" w:afterAutospacing="1"/>
        <w:jc w:val="both"/>
        <w:rPr>
          <w:rFonts w:cs="Times New Roman"/>
          <w:color w:val="000000"/>
        </w:rPr>
      </w:pPr>
      <w:r w:rsidRPr="00785953">
        <w:rPr>
          <w:rFonts w:cs="Times New Roman"/>
          <w:color w:val="000000"/>
        </w:rPr>
        <w:t>2.    Игры, способствующие реализации  живописных и колористических задач обучения. Например: «Радуга», «Теплый – холодный», «Рыбки», «На лугу расцвели красивые цветы» и др. </w:t>
      </w:r>
    </w:p>
    <w:p w14:paraId="54CF9023" w14:textId="77777777" w:rsidR="00042E15" w:rsidRPr="00785953" w:rsidRDefault="00042E15" w:rsidP="00785953">
      <w:pPr>
        <w:spacing w:before="100" w:beforeAutospacing="1" w:after="100" w:afterAutospacing="1"/>
        <w:jc w:val="both"/>
        <w:rPr>
          <w:rFonts w:cs="Times New Roman"/>
          <w:color w:val="000000"/>
        </w:rPr>
      </w:pPr>
      <w:r w:rsidRPr="00785953">
        <w:rPr>
          <w:rFonts w:cs="Times New Roman"/>
          <w:color w:val="000000"/>
        </w:rPr>
        <w:t>3.    Игры, закрепляющие знания о свойствах предмета: их цвете, форме, строении, величине. Например: «Парные картинки», разнообразные лото и домино. </w:t>
      </w:r>
    </w:p>
    <w:p w14:paraId="39D96209" w14:textId="77777777" w:rsidR="00042E15" w:rsidRPr="00785953" w:rsidRDefault="00042E15" w:rsidP="00785953">
      <w:pPr>
        <w:spacing w:before="100" w:beforeAutospacing="1" w:after="100" w:afterAutospacing="1"/>
        <w:jc w:val="both"/>
        <w:rPr>
          <w:rFonts w:cs="Times New Roman"/>
          <w:color w:val="000000"/>
        </w:rPr>
      </w:pPr>
      <w:r w:rsidRPr="00785953">
        <w:rPr>
          <w:rFonts w:cs="Times New Roman"/>
          <w:color w:val="000000"/>
        </w:rPr>
        <w:t>4.    Игры, способствующие развитию представлений и чувств: симметрии- «Узнай предмет», «Бабочки»; цвета – «Каждый предмет на свое место», «Каких цветов не хватает», «Найди квадрат такого же цвета, но другого оттенка»; ритма – «Докончи узор на коврике», «Продолжи орнамент» и др. </w:t>
      </w:r>
    </w:p>
    <w:p w14:paraId="6392CC82" w14:textId="77777777" w:rsidR="00042E15" w:rsidRPr="00785953" w:rsidRDefault="00042E15" w:rsidP="00785953">
      <w:pPr>
        <w:spacing w:before="100" w:beforeAutospacing="1" w:after="100" w:afterAutospacing="1"/>
        <w:jc w:val="both"/>
        <w:rPr>
          <w:rFonts w:cs="Times New Roman"/>
          <w:color w:val="000000"/>
        </w:rPr>
      </w:pPr>
      <w:r w:rsidRPr="00785953">
        <w:rPr>
          <w:rFonts w:cs="Times New Roman"/>
          <w:color w:val="000000"/>
        </w:rPr>
        <w:t>Имея общую цель – развития творческих способностей детей, приведенные в сборнике дидактические игры  объединяются в 3 раздела: </w:t>
      </w:r>
    </w:p>
    <w:p w14:paraId="11BC7DE2" w14:textId="77777777" w:rsidR="00042E15" w:rsidRPr="00785953" w:rsidRDefault="00042E15" w:rsidP="00785953">
      <w:pPr>
        <w:spacing w:before="100" w:beforeAutospacing="1" w:after="100" w:afterAutospacing="1"/>
        <w:jc w:val="both"/>
        <w:rPr>
          <w:rFonts w:cs="Times New Roman"/>
          <w:color w:val="000000"/>
        </w:rPr>
      </w:pPr>
      <w:r w:rsidRPr="00785953">
        <w:rPr>
          <w:rFonts w:cs="Times New Roman"/>
          <w:color w:val="000000"/>
        </w:rPr>
        <w:t>1.    дидактические игры и упражнения направленные на развитие изобразительной деятельности; </w:t>
      </w:r>
    </w:p>
    <w:p w14:paraId="0735F4BD" w14:textId="77777777" w:rsidR="00042E15" w:rsidRPr="00785953" w:rsidRDefault="00042E15" w:rsidP="00785953">
      <w:pPr>
        <w:spacing w:before="100" w:beforeAutospacing="1" w:after="100" w:afterAutospacing="1"/>
        <w:jc w:val="both"/>
        <w:rPr>
          <w:rFonts w:cs="Times New Roman"/>
          <w:color w:val="000000"/>
        </w:rPr>
      </w:pPr>
      <w:r w:rsidRPr="00785953">
        <w:rPr>
          <w:rFonts w:cs="Times New Roman"/>
          <w:color w:val="000000"/>
        </w:rPr>
        <w:t>2.    дидактические игры и упражнения по лепке. </w:t>
      </w:r>
    </w:p>
    <w:p w14:paraId="3BFA9B87" w14:textId="77777777" w:rsidR="00042E15" w:rsidRPr="00785953" w:rsidRDefault="00042E15" w:rsidP="00785953">
      <w:pPr>
        <w:spacing w:before="100" w:beforeAutospacing="1" w:after="100" w:afterAutospacing="1"/>
        <w:jc w:val="both"/>
        <w:rPr>
          <w:rFonts w:cs="Times New Roman"/>
          <w:color w:val="000000"/>
        </w:rPr>
      </w:pPr>
      <w:r w:rsidRPr="00785953">
        <w:rPr>
          <w:rFonts w:cs="Times New Roman"/>
          <w:color w:val="000000"/>
        </w:rPr>
        <w:t>3.    дидактические игры и упражнения на материале природы. </w:t>
      </w:r>
    </w:p>
    <w:p w14:paraId="182D4B9C" w14:textId="77777777" w:rsidR="00042E15" w:rsidRPr="00785953" w:rsidRDefault="00042E15" w:rsidP="00785953">
      <w:pPr>
        <w:spacing w:before="100" w:beforeAutospacing="1" w:after="100" w:afterAutospacing="1"/>
        <w:jc w:val="both"/>
        <w:rPr>
          <w:rFonts w:cs="Times New Roman"/>
          <w:color w:val="000000"/>
        </w:rPr>
      </w:pPr>
      <w:r w:rsidRPr="00785953">
        <w:rPr>
          <w:rFonts w:cs="Times New Roman"/>
          <w:color w:val="000000"/>
        </w:rPr>
        <w:lastRenderedPageBreak/>
        <w:t xml:space="preserve">В дидактических играх легко интегрируются разнообразные содержания, и игра может быть включена в любое занятие, позволяя повысить интерес обучающихся к нему,  активизировать их деятельность.  Так, в процессе создания игры и в течение самой игры  можно широко использовать художественное слово: загадки, </w:t>
      </w:r>
      <w:proofErr w:type="spellStart"/>
      <w:r w:rsidRPr="00785953">
        <w:rPr>
          <w:rFonts w:cs="Times New Roman"/>
          <w:color w:val="000000"/>
        </w:rPr>
        <w:t>потешки</w:t>
      </w:r>
      <w:proofErr w:type="spellEnd"/>
      <w:r w:rsidRPr="00785953">
        <w:rPr>
          <w:rFonts w:cs="Times New Roman"/>
          <w:color w:val="000000"/>
        </w:rPr>
        <w:t>, стихотворения. Это помогает детям эмоционально воспринять и осознать образы, включенные в игру, понять их эстетический характер, способствующий развитию образного мышления, воображения (см. описание игр).  </w:t>
      </w:r>
    </w:p>
    <w:p w14:paraId="1CBA50AD" w14:textId="2F7E1D5F" w:rsidR="00042E15" w:rsidRPr="00785953" w:rsidRDefault="00042E15" w:rsidP="00785953">
      <w:pPr>
        <w:spacing w:before="100" w:beforeAutospacing="1" w:after="100" w:afterAutospacing="1"/>
        <w:jc w:val="both"/>
        <w:rPr>
          <w:rFonts w:cs="Times New Roman"/>
          <w:color w:val="000000"/>
        </w:rPr>
      </w:pPr>
      <w:r w:rsidRPr="00785953">
        <w:rPr>
          <w:rFonts w:cs="Times New Roman"/>
          <w:b/>
          <w:bCs/>
          <w:color w:val="000000"/>
        </w:rPr>
        <w:t>Каждый предмет на свое мест</w:t>
      </w:r>
      <w:r w:rsidR="00785953" w:rsidRPr="00785953">
        <w:rPr>
          <w:rFonts w:cs="Times New Roman"/>
          <w:b/>
          <w:bCs/>
          <w:color w:val="000000"/>
        </w:rPr>
        <w:t>о</w:t>
      </w:r>
      <w:r w:rsidRPr="00785953">
        <w:rPr>
          <w:rFonts w:cs="Times New Roman"/>
          <w:b/>
          <w:bCs/>
          <w:color w:val="000000"/>
        </w:rPr>
        <w:t> </w:t>
      </w:r>
      <w:r w:rsidRPr="00785953">
        <w:rPr>
          <w:rFonts w:cs="Times New Roman"/>
          <w:color w:val="000000"/>
        </w:rPr>
        <w:t xml:space="preserve">  </w:t>
      </w:r>
    </w:p>
    <w:p w14:paraId="32B5CEBF" w14:textId="77777777" w:rsidR="00042E15" w:rsidRPr="00785953" w:rsidRDefault="00042E15" w:rsidP="00785953">
      <w:pPr>
        <w:spacing w:before="100" w:beforeAutospacing="1" w:after="100" w:afterAutospacing="1"/>
        <w:jc w:val="both"/>
        <w:rPr>
          <w:rFonts w:cs="Times New Roman"/>
          <w:color w:val="000000"/>
        </w:rPr>
      </w:pPr>
      <w:r w:rsidRPr="00785953">
        <w:rPr>
          <w:rFonts w:cs="Times New Roman"/>
          <w:b/>
          <w:bCs/>
          <w:color w:val="000000"/>
        </w:rPr>
        <w:t xml:space="preserve">    Наша задача:  </w:t>
      </w:r>
    </w:p>
    <w:p w14:paraId="03C93D52" w14:textId="77777777" w:rsidR="00042E15" w:rsidRPr="00785953" w:rsidRDefault="00042E15" w:rsidP="00785953">
      <w:pPr>
        <w:spacing w:before="100" w:beforeAutospacing="1" w:after="100" w:afterAutospacing="1"/>
        <w:jc w:val="both"/>
        <w:rPr>
          <w:rFonts w:cs="Times New Roman"/>
          <w:color w:val="000000"/>
        </w:rPr>
      </w:pPr>
      <w:r w:rsidRPr="00785953">
        <w:rPr>
          <w:rFonts w:cs="Times New Roman"/>
          <w:color w:val="000000"/>
        </w:rPr>
        <w:t>Дать детям представление о близких цветах. Упражнять в различении близких цветов: красного и розового, красного и оранжевого, синего и голубого, голубого и серого, и др. Парные двухцветные карточки </w:t>
      </w:r>
    </w:p>
    <w:p w14:paraId="5A4234A6" w14:textId="77777777" w:rsidR="00042E15" w:rsidRPr="00785953" w:rsidRDefault="00042E15" w:rsidP="00785953">
      <w:pPr>
        <w:spacing w:before="100" w:beforeAutospacing="1" w:after="100" w:afterAutospacing="1"/>
        <w:jc w:val="both"/>
        <w:rPr>
          <w:rFonts w:cs="Times New Roman"/>
          <w:color w:val="000000"/>
        </w:rPr>
      </w:pPr>
      <w:r w:rsidRPr="00785953">
        <w:rPr>
          <w:rFonts w:cs="Times New Roman"/>
          <w:b/>
          <w:bCs/>
          <w:color w:val="000000"/>
        </w:rPr>
        <w:t>Материал:</w:t>
      </w:r>
      <w:r w:rsidRPr="00785953">
        <w:rPr>
          <w:rFonts w:cs="Times New Roman"/>
          <w:color w:val="000000"/>
        </w:rPr>
        <w:t>   Парные двухцветные карточки, верхняя половина карточки одного цвета, например синяя, а нижняя окрашена в близкий цвет – голубой. У другой карточки цвета в верхней и нижней половине  расположены наоборот. На двух карточках наклеены белые силуэты одинаковых предметов: грибов, бабочек, ваз и др.; двухцветные фигуры, окрашенные в два близких цвета для каждой пары карточек, например у одного грибка желтая шляпка и оранжевая ножка, у другого  наоборот.   </w:t>
      </w:r>
    </w:p>
    <w:p w14:paraId="38EAB78C" w14:textId="77777777" w:rsidR="00042E15" w:rsidRPr="00785953" w:rsidRDefault="00042E15" w:rsidP="00785953">
      <w:pPr>
        <w:spacing w:before="100" w:beforeAutospacing="1" w:after="100" w:afterAutospacing="1"/>
        <w:jc w:val="both"/>
        <w:rPr>
          <w:rFonts w:cs="Times New Roman"/>
          <w:color w:val="000000"/>
        </w:rPr>
      </w:pPr>
      <w:r w:rsidRPr="00785953">
        <w:rPr>
          <w:rFonts w:cs="Times New Roman"/>
          <w:b/>
          <w:bCs/>
          <w:color w:val="000000"/>
        </w:rPr>
        <w:t>Варианты игры:</w:t>
      </w:r>
      <w:r w:rsidRPr="00785953">
        <w:rPr>
          <w:rFonts w:cs="Times New Roman"/>
          <w:color w:val="000000"/>
        </w:rPr>
        <w:t> </w:t>
      </w:r>
    </w:p>
    <w:p w14:paraId="1F903746" w14:textId="77777777" w:rsidR="00042E15" w:rsidRPr="00785953" w:rsidRDefault="00042E15" w:rsidP="00785953">
      <w:pPr>
        <w:spacing w:before="100" w:beforeAutospacing="1" w:after="100" w:afterAutospacing="1"/>
        <w:jc w:val="both"/>
        <w:rPr>
          <w:rFonts w:cs="Times New Roman"/>
          <w:color w:val="000000"/>
        </w:rPr>
      </w:pPr>
      <w:r w:rsidRPr="00785953">
        <w:rPr>
          <w:rFonts w:cs="Times New Roman"/>
          <w:color w:val="000000"/>
        </w:rPr>
        <w:t>v    Каждый играющий  получает одинаковое количество предметов, окрашенных в два близких цвета. Педагог помещает на середину стола  несколько карточек и предлагает положить на них такие предметы, которые бы слились с их фоном, т.е. с цветом нижней и верхней части. После выполнения задания выкладываются другие карточки и игра продолжается.  </w:t>
      </w:r>
    </w:p>
    <w:p w14:paraId="7AA541DB" w14:textId="77777777" w:rsidR="00042E15" w:rsidRPr="00785953" w:rsidRDefault="00042E15" w:rsidP="00785953">
      <w:pPr>
        <w:spacing w:before="100" w:beforeAutospacing="1" w:after="100" w:afterAutospacing="1"/>
        <w:jc w:val="both"/>
        <w:rPr>
          <w:rFonts w:cs="Times New Roman"/>
          <w:color w:val="000000"/>
        </w:rPr>
      </w:pPr>
      <w:r w:rsidRPr="00785953">
        <w:rPr>
          <w:rFonts w:cs="Times New Roman"/>
          <w:color w:val="000000"/>
        </w:rPr>
        <w:t>v    Каждый играющий получает по две парные карточки. Все фигурки находятся у ведущего  и дети их не видят. Учитель загадывает: «У меня предмет, у которого верхняя часть фиолетового цвета, а нижняя – синего цвета. Что это за предмет? И  кому он нужен?» Играющие смотрят на свои карточки и по их цвету и силуэту отгадывают предмет:  «Это бабочка. У нее верхние крылышки фиолетового цвета, а нижние – синего. Она нужна мне» и т.д. </w:t>
      </w:r>
    </w:p>
    <w:p w14:paraId="30DC6F10" w14:textId="77777777" w:rsidR="00042E15" w:rsidRPr="00785953" w:rsidRDefault="00042E15" w:rsidP="00785953">
      <w:pPr>
        <w:spacing w:before="100" w:beforeAutospacing="1" w:after="100" w:afterAutospacing="1"/>
        <w:jc w:val="both"/>
        <w:rPr>
          <w:rFonts w:cs="Times New Roman"/>
          <w:color w:val="000000"/>
        </w:rPr>
      </w:pPr>
      <w:r w:rsidRPr="00785953">
        <w:rPr>
          <w:rFonts w:cs="Times New Roman"/>
          <w:color w:val="000000"/>
        </w:rPr>
        <w:t> </w:t>
      </w:r>
    </w:p>
    <w:p w14:paraId="139D8013" w14:textId="77777777" w:rsidR="00042E15" w:rsidRPr="00785953" w:rsidRDefault="00042E15" w:rsidP="00785953">
      <w:pPr>
        <w:spacing w:before="100" w:beforeAutospacing="1" w:after="100" w:afterAutospacing="1"/>
        <w:jc w:val="both"/>
        <w:rPr>
          <w:rFonts w:cs="Times New Roman"/>
          <w:color w:val="000000"/>
        </w:rPr>
      </w:pPr>
      <w:r w:rsidRPr="00785953">
        <w:rPr>
          <w:rFonts w:cs="Times New Roman"/>
          <w:color w:val="000000"/>
        </w:rPr>
        <w:t> </w:t>
      </w:r>
    </w:p>
    <w:p w14:paraId="1C47026A" w14:textId="77777777" w:rsidR="00042E15" w:rsidRPr="00785953" w:rsidRDefault="00042E15" w:rsidP="00785953">
      <w:pPr>
        <w:jc w:val="both"/>
        <w:rPr>
          <w:rFonts w:cs="Times New Roman"/>
        </w:rPr>
      </w:pPr>
    </w:p>
    <w:sectPr w:rsidR="00042E15" w:rsidRPr="00785953" w:rsidSect="00084BA3">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notTrueType/>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7"/>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2E15"/>
    <w:rsid w:val="00042E15"/>
    <w:rsid w:val="00084BA3"/>
    <w:rsid w:val="006B324F"/>
    <w:rsid w:val="00785953"/>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48ADE93"/>
  <w14:defaultImageDpi w14:val="300"/>
  <w15:docId w15:val="{9C73C2FE-7B73-4041-B1FA-5DC9194C9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8"/>
        <w:szCs w:val="28"/>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42E15"/>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0702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934</Words>
  <Characters>5326</Characters>
  <Application>Microsoft Office Word</Application>
  <DocSecurity>0</DocSecurity>
  <Lines>44</Lines>
  <Paragraphs>12</Paragraphs>
  <ScaleCrop>false</ScaleCrop>
  <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dc:description/>
  <cp:lastModifiedBy>Светлана Степанец</cp:lastModifiedBy>
  <cp:revision>6</cp:revision>
  <cp:lastPrinted>2016-09-20T19:19:00Z</cp:lastPrinted>
  <dcterms:created xsi:type="dcterms:W3CDTF">2016-09-20T19:11:00Z</dcterms:created>
  <dcterms:modified xsi:type="dcterms:W3CDTF">2023-11-18T19:33:00Z</dcterms:modified>
</cp:coreProperties>
</file>